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Стандарт ответственного трудоустройства несовершеннолетних</w:t>
      </w:r>
    </w:p>
    <w:p>
      <w:pPr>
        <w:pStyle w:val="Heading2"/>
        <w:bidi w:val="0"/>
        <w:spacing w:before="200" w:after="120"/>
        <w:jc w:val="left"/>
        <w:rPr/>
      </w:pPr>
      <w:r>
        <w:rPr/>
        <w:t>Рекомендован Уполномоченным при Президенте Российской Федерации по правам ребенка работодателям, трудоустраивающим несовершеннолетних, в целях гарантированного соблюдения прав и законных интересов детей (разработан с учетом мнений детей, родительского сообщества, экспертов в сфере трудовых отношений и уполномоченных по правам ребенка в субъектах Российской Федерации).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